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绍兴市本级卫生健康单位院校招聘2020届硕博毕业生计划表</w:t>
      </w:r>
    </w:p>
    <w:p>
      <w:pPr>
        <w:spacing w:after="156" w:afterLines="5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（硕博士129人）</w:t>
      </w:r>
    </w:p>
    <w:tbl>
      <w:tblPr>
        <w:tblStyle w:val="3"/>
        <w:tblW w:w="9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934"/>
        <w:gridCol w:w="851"/>
        <w:gridCol w:w="992"/>
        <w:gridCol w:w="2977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  人数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业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绍兴市人民医院     （48人）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外科学（骨外科方向）</w:t>
            </w:r>
          </w:p>
        </w:tc>
        <w:tc>
          <w:tcPr>
            <w:tcW w:w="210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乳腺甲状腺外科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胃肠外科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血管疝气外科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心胸外科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内科学（心血管方向）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肾内科学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放疗科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放射治疗学、肿瘤学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放射（核医学）诊断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中医科（中西医结合）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中医内科学（肺病方向）、中西医结合（肿瘤学、呼吸方向）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临床医生2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外科学（本硕连读）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临床医生3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内科学（本硕连读）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疼痛科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儿内科（新生儿）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烧伤科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妇产科学（产科方向）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临床医学、影像医学与核医学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病理诊断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临床医学、病理学与病理生理学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心电图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特检科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绍兴市妇幼保健院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人）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10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儿科（儿保科）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儿外科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康复技术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营养与食品卫生学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本科学历为全日制临床医学专业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心理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210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参加执业医师考试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病理诊断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本科学历为全日制临床医学专业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绍兴市中医院   （23人）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骨伤科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本岗位相应学科研究方向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外科（脑外、胸外或肛肠）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外科学、中医外科学、中西医结合</w:t>
            </w:r>
          </w:p>
        </w:tc>
        <w:tc>
          <w:tcPr>
            <w:tcW w:w="2103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内科学、神经病学、中医内科学、中西医结合</w:t>
            </w:r>
          </w:p>
        </w:tc>
        <w:tc>
          <w:tcPr>
            <w:tcW w:w="2103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6" w:type="dxa"/>
            <w:vMerge w:val="continue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急诊医学、内科学、中医内科学、中西医结合</w:t>
            </w:r>
          </w:p>
        </w:tc>
        <w:tc>
          <w:tcPr>
            <w:tcW w:w="2103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重症、呼吸、心血管、急诊等学科研究方向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康复科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中医骨伤科学、针灸推拿学、康复医学与理疗学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儿科学、中医儿科学、中西医结合</w:t>
            </w:r>
          </w:p>
        </w:tc>
        <w:tc>
          <w:tcPr>
            <w:tcW w:w="2103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本岗位相应学科研究方向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66" w:type="dxa"/>
            <w:vMerge w:val="continue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103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临床检验诊断学，医学技术</w:t>
            </w:r>
          </w:p>
        </w:tc>
        <w:tc>
          <w:tcPr>
            <w:tcW w:w="2103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本岗位相应学科研究方向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中药剂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西药剂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药学、药剂学、药理学</w:t>
            </w:r>
          </w:p>
        </w:tc>
        <w:tc>
          <w:tcPr>
            <w:tcW w:w="2103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中医、中西医结合护理研究方向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绍兴市第七人民医院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（10人）</w:t>
            </w: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精神病与精神卫生学  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2103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内科学(心血管病、呼吸系统、消化系统、内分泌与代谢病)、中西医结合临床  </w:t>
            </w:r>
          </w:p>
        </w:tc>
        <w:tc>
          <w:tcPr>
            <w:tcW w:w="2103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绍兴文理学院附属医院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(17人)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重症医学科  （含EICU）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内科学、重症医学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急诊外科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外科学、急诊医学</w:t>
            </w:r>
          </w:p>
        </w:tc>
        <w:tc>
          <w:tcPr>
            <w:tcW w:w="2103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急诊内科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内科学、急诊医学</w:t>
            </w:r>
          </w:p>
        </w:tc>
        <w:tc>
          <w:tcPr>
            <w:tcW w:w="2103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103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2103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感染科（肝病）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103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肺科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内科学、中医内科学</w:t>
            </w:r>
          </w:p>
        </w:tc>
        <w:tc>
          <w:tcPr>
            <w:tcW w:w="2103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103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103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内科学、中医内科学</w:t>
            </w:r>
          </w:p>
        </w:tc>
        <w:tc>
          <w:tcPr>
            <w:tcW w:w="2103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疼痛科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外科学、麻醉学</w:t>
            </w:r>
          </w:p>
        </w:tc>
        <w:tc>
          <w:tcPr>
            <w:tcW w:w="2103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全科医学、内科学</w:t>
            </w:r>
          </w:p>
        </w:tc>
        <w:tc>
          <w:tcPr>
            <w:tcW w:w="2103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103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6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绍兴市口腔医院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（3人）</w:t>
            </w: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6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绍兴市疾病预防控制中心 （1人）</w:t>
            </w:r>
          </w:p>
        </w:tc>
        <w:tc>
          <w:tcPr>
            <w:tcW w:w="1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疾病控制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流行病与卫生统计学、劳动卫生与环境卫生学、公共卫生</w:t>
            </w:r>
          </w:p>
        </w:tc>
        <w:tc>
          <w:tcPr>
            <w:tcW w:w="2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8392C"/>
    <w:rsid w:val="36014380"/>
    <w:rsid w:val="6E8839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next w:val="1"/>
    <w:uiPriority w:val="0"/>
    <w:pPr>
      <w:spacing w:line="600" w:lineRule="exact"/>
      <w:jc w:val="center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2019-11-12T04:04:00Z</dcterms:created>
  <dc:creator>就业指导中心</dc:creator>
  <cp:lastModifiedBy>就业指导中心</cp:lastModifiedBy>
  <dcterms:modified xsi:type="dcterms:W3CDTF">2019-11-12T04:05:19Z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